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A6" w:rsidRPr="004D17A6" w:rsidRDefault="004D17A6" w:rsidP="004D17A6">
      <w:pPr>
        <w:shd w:val="clear" w:color="auto" w:fill="FFFFFF"/>
        <w:spacing w:before="100" w:beforeAutospacing="1" w:after="100" w:afterAutospacing="1" w:line="240" w:lineRule="auto"/>
        <w:rPr>
          <w:rFonts w:asciiTheme="majorHAnsi" w:eastAsia="Times New Roman" w:hAnsiTheme="majorHAnsi" w:cs="Arial"/>
          <w:b/>
          <w:color w:val="333333"/>
          <w:u w:val="single"/>
        </w:rPr>
      </w:pPr>
      <w:r w:rsidRPr="004D17A6">
        <w:rPr>
          <w:rFonts w:asciiTheme="majorHAnsi" w:eastAsia="Times New Roman" w:hAnsiTheme="majorHAnsi" w:cs="Arial"/>
          <w:b/>
          <w:color w:val="333333"/>
          <w:u w:val="single"/>
        </w:rPr>
        <w:t>Overview</w:t>
      </w:r>
    </w:p>
    <w:p w:rsidR="004D17A6" w:rsidRPr="004D17A6" w:rsidRDefault="004D17A6" w:rsidP="004D17A6">
      <w:pPr>
        <w:shd w:val="clear" w:color="auto" w:fill="FFFFFF"/>
        <w:spacing w:before="100" w:beforeAutospacing="1" w:after="100" w:afterAutospacing="1" w:line="240" w:lineRule="auto"/>
        <w:jc w:val="both"/>
        <w:rPr>
          <w:rFonts w:asciiTheme="majorHAnsi" w:eastAsia="Times New Roman" w:hAnsiTheme="majorHAnsi" w:cs="Arial"/>
          <w:color w:val="333333"/>
        </w:rPr>
      </w:pPr>
      <w:r w:rsidRPr="004D17A6">
        <w:rPr>
          <w:rFonts w:asciiTheme="majorHAnsi" w:eastAsia="Times New Roman" w:hAnsiTheme="majorHAnsi" w:cs="Arial"/>
          <w:color w:val="333333"/>
        </w:rPr>
        <w:t>The industry sector comprises of manufacturing, mining, construction and electricity. The sector contributed 22.2% to GVA and had a growth rate of 10.16% in FY 2016-17. The per capita income in the industries sector is higher than the agricultural sector but lower than the services sector in Andhra Pradesh.</w:t>
      </w:r>
    </w:p>
    <w:p w:rsidR="004D17A6" w:rsidRPr="004D17A6" w:rsidRDefault="004D17A6" w:rsidP="004D17A6">
      <w:pPr>
        <w:shd w:val="clear" w:color="auto" w:fill="FFFFFF"/>
        <w:spacing w:before="100" w:beforeAutospacing="1" w:after="100" w:afterAutospacing="1" w:line="240" w:lineRule="auto"/>
        <w:jc w:val="both"/>
        <w:rPr>
          <w:rFonts w:asciiTheme="majorHAnsi" w:eastAsia="Times New Roman" w:hAnsiTheme="majorHAnsi" w:cs="Arial"/>
          <w:color w:val="333333"/>
        </w:rPr>
      </w:pPr>
      <w:r w:rsidRPr="004D17A6">
        <w:rPr>
          <w:rFonts w:asciiTheme="majorHAnsi" w:eastAsia="Times New Roman" w:hAnsiTheme="majorHAnsi" w:cs="Arial"/>
          <w:color w:val="333333"/>
        </w:rPr>
        <w:t>Under Vision 2029, it is envisioned to position Andhra Pradesh as a leading state in industries to enable value driven growth, local job creation and market oriented products. The vision to achieve a sustainable economic transformation can be realized only with a structurally strong, technically efficient and economically inclusive manufacturing sector. The state has critically identified the challenges faced by the sector; and in response to these challenges it has chalked out the theme based strategic roadmaps. Further, the state has also listed down strategy specific and action oriented KPIs (Key Performance Indicators) of Industry Sector to achieve the vision.</w:t>
      </w:r>
    </w:p>
    <w:tbl>
      <w:tblPr>
        <w:tblStyle w:val="LightGrid-Accent1"/>
        <w:tblpPr w:leftFromText="180" w:rightFromText="180" w:vertAnchor="text" w:horzAnchor="margin" w:tblpY="130"/>
        <w:tblW w:w="5000" w:type="pct"/>
        <w:tblLook w:val="04A0"/>
      </w:tblPr>
      <w:tblGrid>
        <w:gridCol w:w="824"/>
        <w:gridCol w:w="5882"/>
        <w:gridCol w:w="1663"/>
        <w:gridCol w:w="1207"/>
      </w:tblGrid>
      <w:tr w:rsidR="004D17A6" w:rsidRPr="004D17A6" w:rsidTr="004D17A6">
        <w:trPr>
          <w:cnfStyle w:val="100000000000"/>
          <w:trHeight w:val="420"/>
        </w:trPr>
        <w:tc>
          <w:tcPr>
            <w:cnfStyle w:val="001000000000"/>
            <w:tcW w:w="451" w:type="pct"/>
            <w:noWrap/>
            <w:hideMark/>
          </w:tcPr>
          <w:p w:rsidR="004D17A6" w:rsidRPr="004D17A6" w:rsidRDefault="004D17A6" w:rsidP="004D17A6">
            <w:pPr>
              <w:jc w:val="center"/>
              <w:rPr>
                <w:rFonts w:eastAsia="Times New Roman" w:cs="Times New Roman"/>
                <w:b w:val="0"/>
                <w:bCs w:val="0"/>
                <w:color w:val="000000"/>
              </w:rPr>
            </w:pPr>
            <w:proofErr w:type="spellStart"/>
            <w:r w:rsidRPr="004D17A6">
              <w:rPr>
                <w:rFonts w:eastAsia="Times New Roman" w:cs="Times New Roman"/>
                <w:color w:val="000000"/>
              </w:rPr>
              <w:t>S.No</w:t>
            </w:r>
            <w:proofErr w:type="spellEnd"/>
            <w:r w:rsidRPr="004D17A6">
              <w:rPr>
                <w:rFonts w:eastAsia="Times New Roman" w:cs="Times New Roman"/>
                <w:color w:val="000000"/>
              </w:rPr>
              <w:t xml:space="preserve"> </w:t>
            </w:r>
          </w:p>
        </w:tc>
        <w:tc>
          <w:tcPr>
            <w:tcW w:w="3092" w:type="pct"/>
            <w:noWrap/>
            <w:hideMark/>
          </w:tcPr>
          <w:p w:rsidR="004D17A6" w:rsidRPr="004D17A6" w:rsidRDefault="004D17A6" w:rsidP="004D17A6">
            <w:pPr>
              <w:jc w:val="center"/>
              <w:cnfStyle w:val="100000000000"/>
              <w:rPr>
                <w:rFonts w:eastAsia="Times New Roman" w:cs="Times New Roman"/>
                <w:b w:val="0"/>
                <w:bCs w:val="0"/>
                <w:color w:val="000000"/>
              </w:rPr>
            </w:pPr>
            <w:r w:rsidRPr="004D17A6">
              <w:rPr>
                <w:rFonts w:eastAsia="Times New Roman" w:cs="Times New Roman"/>
                <w:color w:val="000000"/>
              </w:rPr>
              <w:t xml:space="preserve">Description </w:t>
            </w:r>
          </w:p>
        </w:tc>
        <w:tc>
          <w:tcPr>
            <w:tcW w:w="806" w:type="pct"/>
            <w:noWrap/>
            <w:hideMark/>
          </w:tcPr>
          <w:p w:rsidR="004D17A6" w:rsidRPr="004D17A6" w:rsidRDefault="004D17A6" w:rsidP="004D17A6">
            <w:pPr>
              <w:jc w:val="center"/>
              <w:cnfStyle w:val="100000000000"/>
              <w:rPr>
                <w:rFonts w:eastAsia="Times New Roman" w:cs="Times New Roman"/>
                <w:b w:val="0"/>
                <w:bCs w:val="0"/>
                <w:color w:val="000000"/>
              </w:rPr>
            </w:pPr>
            <w:r w:rsidRPr="004D17A6">
              <w:rPr>
                <w:rFonts w:eastAsia="Times New Roman" w:cs="Times New Roman"/>
                <w:color w:val="000000"/>
              </w:rPr>
              <w:t xml:space="preserve">Unit </w:t>
            </w:r>
          </w:p>
        </w:tc>
        <w:tc>
          <w:tcPr>
            <w:tcW w:w="651" w:type="pct"/>
            <w:noWrap/>
            <w:hideMark/>
          </w:tcPr>
          <w:p w:rsidR="004D17A6" w:rsidRPr="004D17A6" w:rsidRDefault="004D17A6" w:rsidP="004D17A6">
            <w:pPr>
              <w:jc w:val="center"/>
              <w:cnfStyle w:val="100000000000"/>
              <w:rPr>
                <w:rFonts w:eastAsia="Times New Roman" w:cs="Times New Roman"/>
                <w:b w:val="0"/>
                <w:bCs w:val="0"/>
                <w:color w:val="000000"/>
              </w:rPr>
            </w:pPr>
            <w:r w:rsidRPr="004D17A6">
              <w:rPr>
                <w:rFonts w:eastAsia="Times New Roman" w:cs="Times New Roman"/>
                <w:color w:val="000000"/>
              </w:rPr>
              <w:t xml:space="preserve">Value </w:t>
            </w:r>
          </w:p>
        </w:tc>
      </w:tr>
      <w:tr w:rsidR="004D17A6" w:rsidRPr="004D17A6" w:rsidTr="004D17A6">
        <w:trPr>
          <w:cnfStyle w:val="000000100000"/>
          <w:trHeight w:val="645"/>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1</w:t>
            </w:r>
          </w:p>
        </w:tc>
        <w:tc>
          <w:tcPr>
            <w:tcW w:w="3092" w:type="pct"/>
            <w:hideMark/>
          </w:tcPr>
          <w:p w:rsidR="004D17A6" w:rsidRPr="004D17A6" w:rsidRDefault="004D17A6" w:rsidP="004D17A6">
            <w:pPr>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Manufacturing Sector Contribution to GVA by 2020 </w:t>
            </w:r>
          </w:p>
        </w:tc>
        <w:tc>
          <w:tcPr>
            <w:tcW w:w="806"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w:t>
            </w:r>
          </w:p>
        </w:tc>
        <w:tc>
          <w:tcPr>
            <w:tcW w:w="651"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15</w:t>
            </w:r>
          </w:p>
        </w:tc>
      </w:tr>
      <w:tr w:rsidR="004D17A6" w:rsidRPr="004D17A6" w:rsidTr="004D17A6">
        <w:trPr>
          <w:cnfStyle w:val="000000010000"/>
          <w:trHeight w:val="478"/>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2</w:t>
            </w:r>
          </w:p>
        </w:tc>
        <w:tc>
          <w:tcPr>
            <w:tcW w:w="3092" w:type="pct"/>
            <w:hideMark/>
          </w:tcPr>
          <w:p w:rsidR="004D17A6" w:rsidRPr="004D17A6" w:rsidRDefault="004D17A6" w:rsidP="004D17A6">
            <w:pPr>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Investment requirement in Manufacturing Sector by 2020 </w:t>
            </w:r>
          </w:p>
        </w:tc>
        <w:tc>
          <w:tcPr>
            <w:tcW w:w="806" w:type="pct"/>
            <w:noWrap/>
            <w:hideMark/>
          </w:tcPr>
          <w:p w:rsidR="004D17A6" w:rsidRPr="004D17A6" w:rsidRDefault="004D17A6" w:rsidP="004D17A6">
            <w:pPr>
              <w:jc w:val="center"/>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INR Lakh Crore </w:t>
            </w:r>
          </w:p>
        </w:tc>
        <w:tc>
          <w:tcPr>
            <w:tcW w:w="651" w:type="pct"/>
            <w:noWrap/>
            <w:hideMark/>
          </w:tcPr>
          <w:p w:rsidR="004D17A6" w:rsidRPr="004D17A6" w:rsidRDefault="004D17A6" w:rsidP="004D17A6">
            <w:pPr>
              <w:jc w:val="right"/>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2</w:t>
            </w:r>
          </w:p>
        </w:tc>
      </w:tr>
      <w:tr w:rsidR="004D17A6" w:rsidRPr="004D17A6" w:rsidTr="004D17A6">
        <w:trPr>
          <w:cnfStyle w:val="000000100000"/>
          <w:trHeight w:val="705"/>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3</w:t>
            </w:r>
          </w:p>
        </w:tc>
        <w:tc>
          <w:tcPr>
            <w:tcW w:w="3092" w:type="pct"/>
            <w:hideMark/>
          </w:tcPr>
          <w:p w:rsidR="004D17A6" w:rsidRPr="004D17A6" w:rsidRDefault="004D17A6" w:rsidP="004D17A6">
            <w:pPr>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Investment requirement in Manufaturing Sector by 2029 @ 2014 -15 Prices </w:t>
            </w:r>
          </w:p>
        </w:tc>
        <w:tc>
          <w:tcPr>
            <w:tcW w:w="806"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INR Lakh Crore </w:t>
            </w:r>
          </w:p>
        </w:tc>
        <w:tc>
          <w:tcPr>
            <w:tcW w:w="651"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11.08</w:t>
            </w:r>
          </w:p>
        </w:tc>
      </w:tr>
      <w:tr w:rsidR="004D17A6" w:rsidRPr="004D17A6" w:rsidTr="004D17A6">
        <w:trPr>
          <w:cnfStyle w:val="000000010000"/>
          <w:trHeight w:val="705"/>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4</w:t>
            </w:r>
          </w:p>
        </w:tc>
        <w:tc>
          <w:tcPr>
            <w:tcW w:w="3092" w:type="pct"/>
            <w:hideMark/>
          </w:tcPr>
          <w:p w:rsidR="004D17A6" w:rsidRPr="004D17A6" w:rsidRDefault="004D17A6" w:rsidP="004D17A6">
            <w:pPr>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Investment requirement in Industry Sector by 2029 @ 2014 -15 Prices </w:t>
            </w:r>
          </w:p>
        </w:tc>
        <w:tc>
          <w:tcPr>
            <w:tcW w:w="806" w:type="pct"/>
            <w:noWrap/>
            <w:hideMark/>
          </w:tcPr>
          <w:p w:rsidR="004D17A6" w:rsidRPr="004D17A6" w:rsidRDefault="004D17A6" w:rsidP="004D17A6">
            <w:pPr>
              <w:jc w:val="right"/>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INR Lakh Crore </w:t>
            </w:r>
          </w:p>
        </w:tc>
        <w:tc>
          <w:tcPr>
            <w:tcW w:w="651" w:type="pct"/>
            <w:noWrap/>
            <w:hideMark/>
          </w:tcPr>
          <w:p w:rsidR="004D17A6" w:rsidRPr="004D17A6" w:rsidRDefault="004D17A6" w:rsidP="004D17A6">
            <w:pPr>
              <w:jc w:val="right"/>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32.22</w:t>
            </w:r>
          </w:p>
        </w:tc>
      </w:tr>
      <w:tr w:rsidR="004D17A6" w:rsidRPr="004D17A6" w:rsidTr="004D17A6">
        <w:trPr>
          <w:cnfStyle w:val="000000100000"/>
          <w:trHeight w:val="615"/>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5</w:t>
            </w:r>
          </w:p>
        </w:tc>
        <w:tc>
          <w:tcPr>
            <w:tcW w:w="3092" w:type="pct"/>
            <w:hideMark/>
          </w:tcPr>
          <w:p w:rsidR="004D17A6" w:rsidRPr="004D17A6" w:rsidRDefault="004D17A6" w:rsidP="004D17A6">
            <w:pPr>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Additional Employment to be created in Manufacturing Sector by 2029 </w:t>
            </w:r>
          </w:p>
        </w:tc>
        <w:tc>
          <w:tcPr>
            <w:tcW w:w="806"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No. in Million </w:t>
            </w:r>
          </w:p>
        </w:tc>
        <w:tc>
          <w:tcPr>
            <w:tcW w:w="651"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1.5</w:t>
            </w:r>
          </w:p>
        </w:tc>
      </w:tr>
      <w:tr w:rsidR="004D17A6" w:rsidRPr="004D17A6" w:rsidTr="004D17A6">
        <w:trPr>
          <w:cnfStyle w:val="000000010000"/>
          <w:trHeight w:val="442"/>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6</w:t>
            </w:r>
          </w:p>
        </w:tc>
        <w:tc>
          <w:tcPr>
            <w:tcW w:w="3092" w:type="pct"/>
            <w:hideMark/>
          </w:tcPr>
          <w:p w:rsidR="004D17A6" w:rsidRPr="004D17A6" w:rsidRDefault="004D17A6" w:rsidP="004D17A6">
            <w:pPr>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Capital Productivity by 2029 </w:t>
            </w:r>
          </w:p>
        </w:tc>
        <w:tc>
          <w:tcPr>
            <w:tcW w:w="806" w:type="pct"/>
            <w:noWrap/>
            <w:hideMark/>
          </w:tcPr>
          <w:p w:rsidR="004D17A6" w:rsidRPr="004D17A6" w:rsidRDefault="004D17A6" w:rsidP="004D17A6">
            <w:pPr>
              <w:jc w:val="right"/>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Ratio </w:t>
            </w:r>
          </w:p>
        </w:tc>
        <w:tc>
          <w:tcPr>
            <w:tcW w:w="651" w:type="pct"/>
            <w:noWrap/>
            <w:hideMark/>
          </w:tcPr>
          <w:p w:rsidR="004D17A6" w:rsidRPr="004D17A6" w:rsidRDefault="004D17A6" w:rsidP="004D17A6">
            <w:pPr>
              <w:jc w:val="right"/>
              <w:cnfStyle w:val="00000001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0.8</w:t>
            </w:r>
          </w:p>
        </w:tc>
      </w:tr>
      <w:tr w:rsidR="004D17A6" w:rsidRPr="004D17A6" w:rsidTr="004D17A6">
        <w:trPr>
          <w:cnfStyle w:val="000000100000"/>
          <w:trHeight w:val="300"/>
        </w:trPr>
        <w:tc>
          <w:tcPr>
            <w:cnfStyle w:val="001000000000"/>
            <w:tcW w:w="451" w:type="pct"/>
            <w:noWrap/>
            <w:hideMark/>
          </w:tcPr>
          <w:p w:rsidR="004D17A6" w:rsidRPr="004D17A6" w:rsidRDefault="004D17A6" w:rsidP="004D17A6">
            <w:pPr>
              <w:jc w:val="center"/>
              <w:rPr>
                <w:rFonts w:eastAsia="Times New Roman" w:cs="Times New Roman"/>
                <w:color w:val="000000"/>
              </w:rPr>
            </w:pPr>
            <w:r w:rsidRPr="004D17A6">
              <w:rPr>
                <w:rFonts w:eastAsia="Times New Roman" w:cs="Times New Roman"/>
                <w:color w:val="000000"/>
              </w:rPr>
              <w:t>7</w:t>
            </w:r>
          </w:p>
        </w:tc>
        <w:tc>
          <w:tcPr>
            <w:tcW w:w="3092" w:type="pct"/>
            <w:hideMark/>
          </w:tcPr>
          <w:p w:rsidR="004D17A6" w:rsidRPr="004D17A6" w:rsidRDefault="004D17A6" w:rsidP="004D17A6">
            <w:pPr>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Labour Productivity by 2029 </w:t>
            </w:r>
          </w:p>
        </w:tc>
        <w:tc>
          <w:tcPr>
            <w:tcW w:w="806"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 xml:space="preserve">INR in Lakhs </w:t>
            </w:r>
          </w:p>
        </w:tc>
        <w:tc>
          <w:tcPr>
            <w:tcW w:w="651" w:type="pct"/>
            <w:noWrap/>
            <w:hideMark/>
          </w:tcPr>
          <w:p w:rsidR="004D17A6" w:rsidRPr="004D17A6" w:rsidRDefault="004D17A6" w:rsidP="004D17A6">
            <w:pPr>
              <w:jc w:val="right"/>
              <w:cnfStyle w:val="000000100000"/>
              <w:rPr>
                <w:rFonts w:asciiTheme="majorHAnsi" w:eastAsia="Times New Roman" w:hAnsiTheme="majorHAnsi" w:cs="Times New Roman"/>
                <w:color w:val="000000"/>
              </w:rPr>
            </w:pPr>
            <w:r w:rsidRPr="004D17A6">
              <w:rPr>
                <w:rFonts w:asciiTheme="majorHAnsi" w:eastAsia="Times New Roman" w:hAnsiTheme="majorHAnsi" w:cs="Times New Roman"/>
                <w:color w:val="000000"/>
              </w:rPr>
              <w:t>16</w:t>
            </w:r>
          </w:p>
        </w:tc>
      </w:tr>
    </w:tbl>
    <w:p w:rsidR="004D17A6" w:rsidRPr="004D17A6" w:rsidRDefault="004D17A6" w:rsidP="004D17A6">
      <w:pPr>
        <w:spacing w:after="0" w:line="240" w:lineRule="auto"/>
        <w:rPr>
          <w:rFonts w:asciiTheme="majorHAnsi" w:eastAsia="Times New Roman" w:hAnsiTheme="majorHAnsi" w:cs="Arial"/>
          <w:b/>
          <w:bCs/>
          <w:i/>
          <w:iCs/>
          <w:color w:val="333333"/>
        </w:rPr>
      </w:pPr>
    </w:p>
    <w:p w:rsidR="004D17A6" w:rsidRPr="004D17A6" w:rsidRDefault="004D17A6" w:rsidP="004D17A6">
      <w:pPr>
        <w:spacing w:after="0" w:line="240" w:lineRule="auto"/>
        <w:rPr>
          <w:rFonts w:asciiTheme="majorHAnsi" w:eastAsia="Times New Roman" w:hAnsiTheme="majorHAnsi" w:cs="Times New Roman"/>
        </w:rPr>
      </w:pPr>
      <w:r w:rsidRPr="004D17A6">
        <w:rPr>
          <w:rFonts w:asciiTheme="majorHAnsi" w:eastAsia="Times New Roman" w:hAnsiTheme="majorHAnsi" w:cs="Arial"/>
          <w:b/>
          <w:bCs/>
          <w:i/>
          <w:iCs/>
          <w:color w:val="333333"/>
        </w:rPr>
        <w:t>Global Competitiveness Index:</w:t>
      </w:r>
    </w:p>
    <w:p w:rsidR="004D17A6" w:rsidRPr="004D17A6" w:rsidRDefault="004D17A6" w:rsidP="004D17A6">
      <w:pPr>
        <w:shd w:val="clear" w:color="auto" w:fill="FFFFFF"/>
        <w:spacing w:before="100" w:beforeAutospacing="1" w:after="100" w:afterAutospacing="1" w:line="240" w:lineRule="auto"/>
        <w:jc w:val="both"/>
        <w:rPr>
          <w:rFonts w:asciiTheme="majorHAnsi" w:eastAsia="Times New Roman" w:hAnsiTheme="majorHAnsi" w:cs="Arial"/>
          <w:color w:val="333333"/>
        </w:rPr>
      </w:pPr>
      <w:r w:rsidRPr="004D17A6">
        <w:rPr>
          <w:rFonts w:asciiTheme="majorHAnsi" w:eastAsia="Times New Roman" w:hAnsiTheme="majorHAnsi" w:cs="Arial"/>
          <w:color w:val="333333"/>
        </w:rPr>
        <w:t>AP currently ranks 51st (against India’s 56th rank) out of 141 economies on the Global Competitiveness Index, and aims to be amongst the top 25 by 2029.</w:t>
      </w:r>
    </w:p>
    <w:p w:rsidR="004D17A6" w:rsidRPr="004D17A6" w:rsidRDefault="004D17A6" w:rsidP="004D17A6">
      <w:pPr>
        <w:spacing w:after="0" w:line="240" w:lineRule="auto"/>
        <w:rPr>
          <w:rFonts w:asciiTheme="majorHAnsi" w:eastAsia="Times New Roman" w:hAnsiTheme="majorHAnsi" w:cs="Times New Roman"/>
        </w:rPr>
      </w:pPr>
      <w:r w:rsidRPr="004D17A6">
        <w:rPr>
          <w:rFonts w:asciiTheme="majorHAnsi" w:eastAsia="Times New Roman" w:hAnsiTheme="majorHAnsi" w:cs="Arial"/>
          <w:b/>
          <w:bCs/>
          <w:i/>
          <w:iCs/>
          <w:color w:val="333333"/>
        </w:rPr>
        <w:t>Ease of Doing Business:</w:t>
      </w:r>
    </w:p>
    <w:p w:rsidR="004D17A6" w:rsidRDefault="004D17A6" w:rsidP="004D17A6">
      <w:pPr>
        <w:shd w:val="clear" w:color="auto" w:fill="FFFFFF"/>
        <w:spacing w:before="100" w:beforeAutospacing="1" w:after="100" w:afterAutospacing="1"/>
      </w:pPr>
      <w:r w:rsidRPr="004D17A6">
        <w:rPr>
          <w:rFonts w:asciiTheme="majorHAnsi" w:eastAsia="Times New Roman" w:hAnsiTheme="majorHAnsi" w:cs="Arial"/>
          <w:color w:val="333333"/>
        </w:rPr>
        <w:t>AP ranks 1</w:t>
      </w:r>
      <w:r w:rsidRPr="004D17A6">
        <w:rPr>
          <w:rFonts w:asciiTheme="majorHAnsi" w:eastAsia="Times New Roman" w:hAnsiTheme="majorHAnsi" w:cs="Arial"/>
          <w:color w:val="333333"/>
          <w:vertAlign w:val="superscript"/>
        </w:rPr>
        <w:t>st</w:t>
      </w:r>
      <w:r w:rsidRPr="004D17A6">
        <w:rPr>
          <w:rFonts w:asciiTheme="majorHAnsi" w:eastAsia="Times New Roman" w:hAnsiTheme="majorHAnsi" w:cs="Arial"/>
          <w:color w:val="333333"/>
        </w:rPr>
        <w:t xml:space="preserve"> in India according to the DIPP study on implementation of Business reforms 2016 for Ease of Doing Business. The state aims </w:t>
      </w:r>
      <w:r w:rsidRPr="004D17A6">
        <w:rPr>
          <w:rFonts w:asciiTheme="majorHAnsi" w:eastAsia="Times New Roman" w:hAnsiTheme="majorHAnsi" w:cs="Arial"/>
        </w:rPr>
        <w:t xml:space="preserve">to become one amongst the three best states in India by 2022, the best state by 2029 and a leading global investment destination by 2050. </w:t>
      </w:r>
    </w:p>
    <w:p w:rsidR="001536E9" w:rsidRDefault="001536E9"/>
    <w:sectPr w:rsidR="001536E9" w:rsidSect="001536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15E"/>
    <w:rsid w:val="001536E9"/>
    <w:rsid w:val="002D0545"/>
    <w:rsid w:val="0032115E"/>
    <w:rsid w:val="00445A5E"/>
    <w:rsid w:val="004D1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7A6"/>
    <w:rPr>
      <w:b/>
      <w:bCs/>
    </w:rPr>
  </w:style>
  <w:style w:type="table" w:styleId="LightShading">
    <w:name w:val="Light Shading"/>
    <w:basedOn w:val="TableNormal"/>
    <w:uiPriority w:val="60"/>
    <w:rsid w:val="004D17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4D17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6542002">
      <w:bodyDiv w:val="1"/>
      <w:marLeft w:val="0"/>
      <w:marRight w:val="0"/>
      <w:marTop w:val="0"/>
      <w:marBottom w:val="0"/>
      <w:divBdr>
        <w:top w:val="none" w:sz="0" w:space="0" w:color="auto"/>
        <w:left w:val="none" w:sz="0" w:space="0" w:color="auto"/>
        <w:bottom w:val="none" w:sz="0" w:space="0" w:color="auto"/>
        <w:right w:val="none" w:sz="0" w:space="0" w:color="auto"/>
      </w:divBdr>
    </w:div>
    <w:div w:id="2130397175">
      <w:bodyDiv w:val="1"/>
      <w:marLeft w:val="0"/>
      <w:marRight w:val="0"/>
      <w:marTop w:val="0"/>
      <w:marBottom w:val="0"/>
      <w:divBdr>
        <w:top w:val="none" w:sz="0" w:space="0" w:color="auto"/>
        <w:left w:val="none" w:sz="0" w:space="0" w:color="auto"/>
        <w:bottom w:val="none" w:sz="0" w:space="0" w:color="auto"/>
        <w:right w:val="none" w:sz="0" w:space="0" w:color="auto"/>
      </w:divBdr>
    </w:div>
    <w:div w:id="2140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APSDPS-i3-5</dc:creator>
  <cp:lastModifiedBy>APSDPS-i3-5</cp:lastModifiedBy>
  <cp:revision>2</cp:revision>
  <dcterms:created xsi:type="dcterms:W3CDTF">2017-11-07T10:08:00Z</dcterms:created>
  <dcterms:modified xsi:type="dcterms:W3CDTF">2017-11-07T10:08:00Z</dcterms:modified>
</cp:coreProperties>
</file>